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0B" w:rsidRDefault="00BF2E0B" w:rsidP="00BF2E0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</w:pP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Programul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„EURO 200"</w:t>
      </w:r>
    </w:p>
    <w:p w:rsidR="00BF2E0B" w:rsidRDefault="00BF2E0B" w:rsidP="00BF2E0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</w:pPr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proofErr w:type="gram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pentru</w:t>
      </w:r>
      <w:proofErr w:type="spellEnd"/>
      <w:proofErr w:type="gram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acordarea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unui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ajutor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financiar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vederea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stimulării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achiziţionării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calculatoare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se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va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derula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şi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>anul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</w:rPr>
        <w:t xml:space="preserve"> 2022</w:t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.</w:t>
      </w:r>
    </w:p>
    <w:p w:rsidR="00BF2E0B" w:rsidRPr="00BF2E0B" w:rsidRDefault="00BF2E0B" w:rsidP="00BF2E0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</w:pPr>
    </w:p>
    <w:p w:rsidR="00BF2E0B" w:rsidRPr="00BF2E0B" w:rsidRDefault="00BF2E0B" w:rsidP="00BF2E0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</w:pP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    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Beneficiarii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acestui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program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sunt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elevii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/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studenții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învătământului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stat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sau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particular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acreditat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vârstă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până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la 26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ani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care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provin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din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familii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cu un </w:t>
      </w:r>
      <w:proofErr w:type="spellStart"/>
      <w:r w:rsidRPr="00BF2E0B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venit</w:t>
      </w:r>
      <w:proofErr w:type="spellEnd"/>
      <w:r w:rsidRPr="00BF2E0B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brut lunar de maximum 250 lei </w:t>
      </w:r>
      <w:proofErr w:type="spellStart"/>
      <w:r w:rsidRPr="00BF2E0B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pe</w:t>
      </w:r>
      <w:proofErr w:type="spellEnd"/>
      <w:r w:rsidRPr="00BF2E0B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membru</w:t>
      </w:r>
      <w:proofErr w:type="spellEnd"/>
      <w:r w:rsidRPr="00BF2E0B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familie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,</w:t>
      </w:r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(</w:t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="00C94876" w:rsidRPr="00C94876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salariul</w:t>
      </w:r>
      <w:proofErr w:type="spellEnd"/>
      <w:r w:rsidR="00C94876" w:rsidRPr="00C94876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minim brut de la 1 </w:t>
      </w:r>
      <w:proofErr w:type="spellStart"/>
      <w:r w:rsidR="00C94876" w:rsidRPr="00C94876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ianuarie</w:t>
      </w:r>
      <w:proofErr w:type="spellEnd"/>
      <w:r w:rsidR="00C94876" w:rsidRPr="00C94876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2022 </w:t>
      </w:r>
      <w:proofErr w:type="spellStart"/>
      <w:r w:rsidR="00C94876" w:rsidRPr="00C94876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C94876" w:rsidRPr="00C94876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2550 lei</w:t>
      </w:r>
      <w:r w:rsidR="00C94876">
        <w:rPr>
          <w:rStyle w:val="Emphasis"/>
          <w:rFonts w:ascii="Helvetica" w:hAnsi="Helvetica" w:cs="Helvetica"/>
          <w:color w:val="222222"/>
          <w:shd w:val="clear" w:color="auto" w:fill="FFFFFF"/>
        </w:rPr>
        <w:t>).</w:t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conform HG nr. </w:t>
      </w:r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297/03.05.2018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pentru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modificarea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Normelor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metodologice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pentru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aplicarea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Legii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nr.</w:t>
      </w:r>
      <w:proofErr w:type="gram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269/2004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privind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acordarea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unui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ajutor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financiar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vederea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achiziţionării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calculatoarelor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aprobată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prin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HG nr.</w:t>
      </w:r>
      <w:proofErr w:type="gram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1294/</w:t>
      </w:r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2004 ,</w:t>
      </w:r>
      <w:proofErr w:type="gram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publicată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in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Monitorul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Oficial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nr. </w:t>
      </w:r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408/ 14.05.2018.</w:t>
      </w:r>
      <w:proofErr w:type="gram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  <w:t xml:space="preserve">     </w:t>
      </w:r>
      <w:proofErr w:type="spellStart"/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Ajutorul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se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acordă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o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singură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dată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cadrul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unei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familii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.</w:t>
      </w:r>
      <w:proofErr w:type="gram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  <w:t xml:space="preserve">     </w:t>
      </w:r>
      <w:proofErr w:type="spellStart"/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Pentru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obținerea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ajutorului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aferent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achiziționării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unui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calculator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baza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Legii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nr.</w:t>
      </w:r>
      <w:proofErr w:type="gram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269/2004,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beneficiarii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întocmesc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o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cerere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conform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modelului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prevăzut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anexa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nr. 2 </w:t>
      </w:r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la</w:t>
      </w:r>
      <w:proofErr w:type="gram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Hotărârea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Guvern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nr. 1294/2004,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care o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depun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la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unitatea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/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instițutia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învătământ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la care </w:t>
      </w:r>
      <w:proofErr w:type="spellStart"/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este</w:t>
      </w:r>
      <w:proofErr w:type="spellEnd"/>
      <w:proofErr w:type="gram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înscris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elevul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/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studentul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.</w:t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  <w:t xml:space="preserve">     La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stabilirea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venitului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brut lunar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membru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familie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se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iau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calcul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toate</w:t>
      </w:r>
      <w:proofErr w:type="spellEnd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veniturile</w:t>
      </w:r>
      <w:proofErr w:type="spellEnd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realizate</w:t>
      </w:r>
      <w:proofErr w:type="spellEnd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de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membrii</w:t>
      </w:r>
      <w:proofErr w:type="spellEnd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familiei</w:t>
      </w:r>
      <w:proofErr w:type="spellEnd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în</w:t>
      </w:r>
      <w:proofErr w:type="spellEnd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luna</w:t>
      </w:r>
      <w:proofErr w:type="spellEnd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precedentă</w:t>
      </w:r>
      <w:proofErr w:type="spellEnd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depunerii</w:t>
      </w:r>
      <w:proofErr w:type="spellEnd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 xml:space="preserve"> </w:t>
      </w:r>
      <w:proofErr w:type="spellStart"/>
      <w:r w:rsidRPr="00C94876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</w:rPr>
        <w:t>cererii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,</w:t>
      </w:r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 </w:t>
      </w:r>
      <w:r w:rsidR="00C94876" w:rsidRPr="00C94876">
        <w:rPr>
          <w:rFonts w:ascii="Times New Roman" w:eastAsia="Times New Roman" w:hAnsi="Times New Roman" w:cs="Times New Roman"/>
          <w:b/>
          <w:color w:val="392C0E"/>
          <w:spacing w:val="15"/>
          <w:sz w:val="28"/>
          <w:szCs w:val="28"/>
        </w:rPr>
        <w:t xml:space="preserve">cu </w:t>
      </w:r>
      <w:proofErr w:type="spellStart"/>
      <w:r w:rsidR="00C94876" w:rsidRPr="00C94876">
        <w:rPr>
          <w:rFonts w:ascii="Times New Roman" w:eastAsia="Times New Roman" w:hAnsi="Times New Roman" w:cs="Times New Roman"/>
          <w:b/>
          <w:color w:val="392C0E"/>
          <w:spacing w:val="15"/>
          <w:sz w:val="28"/>
          <w:szCs w:val="28"/>
        </w:rPr>
        <w:t>excepția</w:t>
      </w:r>
      <w:proofErr w:type="spellEnd"/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: </w:t>
      </w:r>
      <w:proofErr w:type="spellStart"/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alocat</w:t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iei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stat,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alocației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familiale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complementare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şi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a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alocației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susținere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pentru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familia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monoparentală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bugetului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personal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complementar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acordat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persoanelor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cu handicap</w:t>
      </w:r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</w:t>
      </w:r>
      <w:proofErr w:type="spellStart"/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burselor</w:t>
      </w:r>
      <w:proofErr w:type="spellEnd"/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studii</w:t>
      </w:r>
      <w:proofErr w:type="spellEnd"/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şi</w:t>
      </w:r>
      <w:proofErr w:type="spellEnd"/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="00C94876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bursele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sociale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precum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şi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a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tuturor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drepturilor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sociale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care,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potrivit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legii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sunt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exceptate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la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stabilirea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altor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drepturi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şi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obligații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.</w:t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  <w:t xml:space="preserve">    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Stabilirea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numărului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beneficiari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se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realizează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ordinea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crescătoare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a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venitului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brut lunar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membru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familie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limita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sumelor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alocate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cu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această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destinație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bugetul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Ministerului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Educației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şi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Cercetării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conform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legislației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vigoare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.</w:t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</w: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br/>
      </w:r>
      <w:proofErr w:type="spellStart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>Legislația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>vigoare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 xml:space="preserve"> </w:t>
      </w:r>
      <w:proofErr w:type="spellStart"/>
      <w:proofErr w:type="gramStart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>este</w:t>
      </w:r>
      <w:proofErr w:type="spellEnd"/>
      <w:proofErr w:type="gramEnd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>reprezentată</w:t>
      </w:r>
      <w:proofErr w:type="spellEnd"/>
      <w:r w:rsidRPr="00BF2E0B">
        <w:rPr>
          <w:rFonts w:ascii="Times New Roman" w:eastAsia="Times New Roman" w:hAnsi="Times New Roman" w:cs="Times New Roman"/>
          <w:b/>
          <w:bCs/>
          <w:i/>
          <w:iCs/>
          <w:color w:val="392C0E"/>
          <w:spacing w:val="15"/>
          <w:sz w:val="24"/>
          <w:szCs w:val="24"/>
        </w:rPr>
        <w:t xml:space="preserve"> de:</w:t>
      </w:r>
    </w:p>
    <w:p w:rsidR="00BF2E0B" w:rsidRPr="00BF2E0B" w:rsidRDefault="00BF2E0B" w:rsidP="00BF2E0B">
      <w:pPr>
        <w:numPr>
          <w:ilvl w:val="0"/>
          <w:numId w:val="1"/>
        </w:numPr>
        <w:shd w:val="clear" w:color="auto" w:fill="FFFFFF"/>
        <w:spacing w:before="75" w:after="0" w:line="240" w:lineRule="auto"/>
        <w:ind w:left="255"/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</w:pP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Legea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nr. 269/2004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privind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acordarea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unui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ajutor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financiar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vederea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stimulării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achiziționării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calculatoare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, cu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modificările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şi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completăriie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ulterioare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;</w:t>
      </w:r>
    </w:p>
    <w:p w:rsidR="00BF2E0B" w:rsidRPr="00BF2E0B" w:rsidRDefault="00BF2E0B" w:rsidP="00BF2E0B">
      <w:pPr>
        <w:numPr>
          <w:ilvl w:val="0"/>
          <w:numId w:val="1"/>
        </w:numPr>
        <w:shd w:val="clear" w:color="auto" w:fill="FFFFFF"/>
        <w:spacing w:before="75" w:after="0" w:line="240" w:lineRule="auto"/>
        <w:ind w:left="255"/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</w:pP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Hotărârea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Guvern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nr. 1294/2004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privind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aprobarea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Normelor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metodologice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pentru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aplicarea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Legii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nr. 269/2004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privind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acordarea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unui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ajutor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financiar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vederea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stimulării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achiziționării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calculatoare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, cu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modificările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şi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completările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ulterioare</w:t>
      </w:r>
      <w:proofErr w:type="spellEnd"/>
      <w:r w:rsidRPr="00BF2E0B">
        <w:rPr>
          <w:rFonts w:ascii="Times New Roman" w:eastAsia="Times New Roman" w:hAnsi="Times New Roman" w:cs="Times New Roman"/>
          <w:color w:val="3B5953"/>
          <w:spacing w:val="15"/>
          <w:sz w:val="24"/>
          <w:szCs w:val="24"/>
        </w:rPr>
        <w:t>.</w:t>
      </w:r>
    </w:p>
    <w:p w:rsidR="00BF2E0B" w:rsidRPr="00BF2E0B" w:rsidRDefault="00BF2E0B" w:rsidP="00BF2E0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</w:pPr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     La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nivelul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fiecărei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unități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învătământ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preuniversitar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la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nivelul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fiecărui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inspectorat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şcolar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județean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respectiv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al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municipiului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Bucureşti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la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nivelul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fiecărei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instituții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învătământ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superior de stat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sau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particular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acreditate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se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vor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constitui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comisiile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"EURO 200",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situația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care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acestea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nu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există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conform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articolelor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6, 7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şi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8 din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Hotărârea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Guvem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nr. </w:t>
      </w:r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1294/2004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privind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aprobarea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Normelor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metodologice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pentru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aplicarea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Legii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nr.</w:t>
      </w:r>
      <w:proofErr w:type="gram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gram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269/2004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privind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acordarea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unui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ajutor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financiar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în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vederea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stimulării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achiziționării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de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calculatoare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, cu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modificările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şi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completările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 xml:space="preserve"> </w:t>
      </w:r>
      <w:proofErr w:type="spellStart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ulterioare</w:t>
      </w:r>
      <w:proofErr w:type="spellEnd"/>
      <w:r w:rsidRPr="00BF2E0B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</w:rPr>
        <w:t>.</w:t>
      </w:r>
      <w:proofErr w:type="gramEnd"/>
    </w:p>
    <w:p w:rsidR="00514BA4" w:rsidRDefault="00514B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4BA4" w:rsidSect="00AA71C6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5F0"/>
    <w:multiLevelType w:val="multilevel"/>
    <w:tmpl w:val="4542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61432"/>
    <w:multiLevelType w:val="multilevel"/>
    <w:tmpl w:val="0B0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56C27"/>
    <w:multiLevelType w:val="multilevel"/>
    <w:tmpl w:val="E484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0B"/>
    <w:rsid w:val="00514BA4"/>
    <w:rsid w:val="0085253C"/>
    <w:rsid w:val="00A14B78"/>
    <w:rsid w:val="00A64C32"/>
    <w:rsid w:val="00AA71C6"/>
    <w:rsid w:val="00B74D88"/>
    <w:rsid w:val="00BF2E0B"/>
    <w:rsid w:val="00C91B7B"/>
    <w:rsid w:val="00C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E0B"/>
    <w:rPr>
      <w:b/>
      <w:bCs/>
    </w:rPr>
  </w:style>
  <w:style w:type="character" w:styleId="Emphasis">
    <w:name w:val="Emphasis"/>
    <w:basedOn w:val="DefaultParagraphFont"/>
    <w:uiPriority w:val="20"/>
    <w:qFormat/>
    <w:rsid w:val="00C948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E0B"/>
    <w:rPr>
      <w:b/>
      <w:bCs/>
    </w:rPr>
  </w:style>
  <w:style w:type="character" w:styleId="Emphasis">
    <w:name w:val="Emphasis"/>
    <w:basedOn w:val="DefaultParagraphFont"/>
    <w:uiPriority w:val="20"/>
    <w:qFormat/>
    <w:rsid w:val="00C94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Sc16Adrianacontab</dc:creator>
  <cp:lastModifiedBy>Sc16Adrianacontab</cp:lastModifiedBy>
  <cp:revision>6</cp:revision>
  <cp:lastPrinted>2022-03-28T11:02:00Z</cp:lastPrinted>
  <dcterms:created xsi:type="dcterms:W3CDTF">2022-03-28T10:50:00Z</dcterms:created>
  <dcterms:modified xsi:type="dcterms:W3CDTF">2022-03-29T08:39:00Z</dcterms:modified>
</cp:coreProperties>
</file>